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CF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868">
        <w:rPr>
          <w:rFonts w:ascii="Times New Roman" w:hAnsi="Times New Roman" w:cs="Times New Roman"/>
          <w:sz w:val="28"/>
          <w:szCs w:val="28"/>
        </w:rPr>
        <w:t>МИНИСТЕРСТВО СЕЛЬСКОГО ХОЗЯЙСТВА СССР</w:t>
      </w: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868">
        <w:rPr>
          <w:rFonts w:ascii="Times New Roman" w:hAnsi="Times New Roman" w:cs="Times New Roman"/>
          <w:sz w:val="28"/>
          <w:szCs w:val="28"/>
        </w:rPr>
        <w:t xml:space="preserve">ВСЕСОЮЗНЫЙ НАУЧНО-ИССЛЕДОВАТЕЛЬСКИЙ </w:t>
      </w: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868">
        <w:rPr>
          <w:rFonts w:ascii="Times New Roman" w:hAnsi="Times New Roman" w:cs="Times New Roman"/>
          <w:sz w:val="28"/>
          <w:szCs w:val="28"/>
        </w:rPr>
        <w:t>И ТЕХНОЛОГИЧЕСКИЙ ИНСТИТУТ ПТИЦЕВОДСТВА</w:t>
      </w: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87868">
        <w:rPr>
          <w:rFonts w:ascii="Times New Roman" w:hAnsi="Times New Roman" w:cs="Times New Roman"/>
          <w:sz w:val="24"/>
        </w:rPr>
        <w:t>___________________________________________</w:t>
      </w:r>
      <w:r w:rsidR="00887868">
        <w:rPr>
          <w:rFonts w:ascii="Times New Roman" w:hAnsi="Times New Roman" w:cs="Times New Roman"/>
          <w:sz w:val="24"/>
        </w:rPr>
        <w:t>______________________________</w:t>
      </w: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B28F5" w:rsidRPr="00887868" w:rsidRDefault="005B28F5" w:rsidP="0088786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87868">
        <w:rPr>
          <w:rFonts w:ascii="Times New Roman" w:hAnsi="Times New Roman" w:cs="Times New Roman"/>
          <w:sz w:val="28"/>
          <w:szCs w:val="28"/>
        </w:rPr>
        <w:t>Одобрены Советом Птицеводства СССР 19 марта 1975 года</w:t>
      </w: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87868">
        <w:rPr>
          <w:rFonts w:ascii="Times New Roman" w:hAnsi="Times New Roman" w:cs="Times New Roman"/>
          <w:sz w:val="36"/>
          <w:szCs w:val="36"/>
        </w:rPr>
        <w:t>МЕТОДИЧЕСКИЕ РЕКОМЕНДАЦИИ                                  ПО КОРМЛЕНИЮ МОЛОДНЯКА КАРЛИКОВЫХ (М</w:t>
      </w:r>
      <w:r w:rsidRPr="00887868">
        <w:rPr>
          <w:rFonts w:ascii="Times New Roman" w:hAnsi="Times New Roman" w:cs="Times New Roman"/>
          <w:sz w:val="36"/>
          <w:szCs w:val="36"/>
        </w:rPr>
        <w:t>И</w:t>
      </w:r>
      <w:r w:rsidRPr="00887868">
        <w:rPr>
          <w:rFonts w:ascii="Times New Roman" w:hAnsi="Times New Roman" w:cs="Times New Roman"/>
          <w:sz w:val="36"/>
          <w:szCs w:val="36"/>
        </w:rPr>
        <w:t>НИАТЮРНЫХ) ЛЕГГОРНОВ</w:t>
      </w: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7868" w:rsidRDefault="00887868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7868" w:rsidRPr="00887868" w:rsidRDefault="00887868" w:rsidP="005B28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28F5" w:rsidRPr="00887868" w:rsidRDefault="005B28F5" w:rsidP="005B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868">
        <w:rPr>
          <w:rFonts w:ascii="Times New Roman" w:hAnsi="Times New Roman" w:cs="Times New Roman"/>
          <w:sz w:val="28"/>
          <w:szCs w:val="28"/>
        </w:rPr>
        <w:t>Москва - 1975</w:t>
      </w:r>
    </w:p>
    <w:p w:rsidR="005B28F5" w:rsidRPr="00887868" w:rsidRDefault="005B28F5">
      <w:pPr>
        <w:rPr>
          <w:rFonts w:ascii="Times New Roman" w:hAnsi="Times New Roman" w:cs="Times New Roman"/>
          <w:sz w:val="28"/>
          <w:szCs w:val="28"/>
        </w:rPr>
      </w:pPr>
      <w:r w:rsidRPr="00887868">
        <w:rPr>
          <w:rFonts w:ascii="Times New Roman" w:hAnsi="Times New Roman" w:cs="Times New Roman"/>
          <w:sz w:val="28"/>
          <w:szCs w:val="28"/>
        </w:rPr>
        <w:br w:type="page"/>
      </w:r>
    </w:p>
    <w:p w:rsidR="005B28F5" w:rsidRPr="00887868" w:rsidRDefault="002A44A9" w:rsidP="005B2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lastRenderedPageBreak/>
        <w:t>В последние годы все большее внимание завоевывают м</w:t>
      </w:r>
      <w:r w:rsidRPr="00887868">
        <w:rPr>
          <w:rFonts w:ascii="Times New Roman" w:hAnsi="Times New Roman" w:cs="Times New Roman"/>
          <w:sz w:val="32"/>
          <w:szCs w:val="32"/>
        </w:rPr>
        <w:t>и</w:t>
      </w:r>
      <w:r w:rsidRPr="00887868">
        <w:rPr>
          <w:rFonts w:ascii="Times New Roman" w:hAnsi="Times New Roman" w:cs="Times New Roman"/>
          <w:sz w:val="32"/>
          <w:szCs w:val="32"/>
        </w:rPr>
        <w:t>ни-несушки, т.е. взрослые куры весом не более 1,36 кг, пол</w:t>
      </w:r>
      <w:r w:rsidRPr="00887868">
        <w:rPr>
          <w:rFonts w:ascii="Times New Roman" w:hAnsi="Times New Roman" w:cs="Times New Roman"/>
          <w:sz w:val="32"/>
          <w:szCs w:val="32"/>
        </w:rPr>
        <w:t>у</w:t>
      </w:r>
      <w:r w:rsidRPr="00887868">
        <w:rPr>
          <w:rFonts w:ascii="Times New Roman" w:hAnsi="Times New Roman" w:cs="Times New Roman"/>
          <w:sz w:val="32"/>
          <w:szCs w:val="32"/>
        </w:rPr>
        <w:t>ченные в результате селекции по живому весу или путем использования г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на карликовости.</w:t>
      </w:r>
    </w:p>
    <w:p w:rsidR="002A44A9" w:rsidRPr="00887868" w:rsidRDefault="002A44A9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Потребности мелкой птицы в корме дл поддержания жизни меньше, чем крупной, а размер яиц по отношению к размеру тела больше. Доказано, что ген карликовости уменьшает вес тела на 30 %, и вес яиц приблизительно на 10 %.</w:t>
      </w:r>
    </w:p>
    <w:p w:rsidR="002A44A9" w:rsidRPr="00887868" w:rsidRDefault="002A44A9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Преимуществом мини-несушек является также меньшие з</w:t>
      </w:r>
      <w:r w:rsidRPr="00887868">
        <w:rPr>
          <w:rFonts w:ascii="Times New Roman" w:hAnsi="Times New Roman" w:cs="Times New Roman"/>
          <w:sz w:val="32"/>
          <w:szCs w:val="32"/>
        </w:rPr>
        <w:t>а</w:t>
      </w:r>
      <w:r w:rsidRPr="00887868">
        <w:rPr>
          <w:rFonts w:ascii="Times New Roman" w:hAnsi="Times New Roman" w:cs="Times New Roman"/>
          <w:sz w:val="32"/>
          <w:szCs w:val="32"/>
        </w:rPr>
        <w:t>траты корма на производство яиц, меньшая потребность в занима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мой площади, больший выход яичной массы с единицы пл</w:t>
      </w:r>
      <w:r w:rsidRPr="00887868">
        <w:rPr>
          <w:rFonts w:ascii="Times New Roman" w:hAnsi="Times New Roman" w:cs="Times New Roman"/>
          <w:sz w:val="32"/>
          <w:szCs w:val="32"/>
        </w:rPr>
        <w:t>о</w:t>
      </w:r>
      <w:r w:rsidRPr="00887868">
        <w:rPr>
          <w:rFonts w:ascii="Times New Roman" w:hAnsi="Times New Roman" w:cs="Times New Roman"/>
          <w:sz w:val="32"/>
          <w:szCs w:val="32"/>
        </w:rPr>
        <w:t>щади и у</w:t>
      </w:r>
      <w:r w:rsidR="006C0543" w:rsidRPr="00887868">
        <w:rPr>
          <w:rFonts w:ascii="Times New Roman" w:hAnsi="Times New Roman" w:cs="Times New Roman"/>
          <w:sz w:val="32"/>
          <w:szCs w:val="32"/>
        </w:rPr>
        <w:t>добство работы с ними.</w:t>
      </w:r>
    </w:p>
    <w:p w:rsidR="006C0543" w:rsidRPr="00887868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Карликовые куры, имея на 30 % вес меньше, чем "нормал</w:t>
      </w:r>
      <w:r w:rsidRPr="00887868">
        <w:rPr>
          <w:rFonts w:ascii="Times New Roman" w:hAnsi="Times New Roman" w:cs="Times New Roman"/>
          <w:sz w:val="32"/>
          <w:szCs w:val="32"/>
        </w:rPr>
        <w:t>ь</w:t>
      </w:r>
      <w:r w:rsidRPr="00887868">
        <w:rPr>
          <w:rFonts w:ascii="Times New Roman" w:hAnsi="Times New Roman" w:cs="Times New Roman"/>
          <w:sz w:val="32"/>
          <w:szCs w:val="32"/>
        </w:rPr>
        <w:t>ные", потребляют на 25 - 34 % меньше корма. Карликовые куры перспективны для клеточного содержания.</w:t>
      </w:r>
    </w:p>
    <w:p w:rsidR="006C0543" w:rsidRPr="00887868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Карликовые цыплята обладают при вылуплении из яйца т</w:t>
      </w:r>
      <w:r w:rsidRPr="00887868">
        <w:rPr>
          <w:rFonts w:ascii="Times New Roman" w:hAnsi="Times New Roman" w:cs="Times New Roman"/>
          <w:sz w:val="32"/>
          <w:szCs w:val="32"/>
        </w:rPr>
        <w:t>а</w:t>
      </w:r>
      <w:r w:rsidRPr="00887868">
        <w:rPr>
          <w:rFonts w:ascii="Times New Roman" w:hAnsi="Times New Roman" w:cs="Times New Roman"/>
          <w:sz w:val="32"/>
          <w:szCs w:val="32"/>
        </w:rPr>
        <w:t>ким же весом, как и "нормальные", но в дальнейшем их рост з</w:t>
      </w:r>
      <w:r w:rsidRPr="00887868">
        <w:rPr>
          <w:rFonts w:ascii="Times New Roman" w:hAnsi="Times New Roman" w:cs="Times New Roman"/>
          <w:sz w:val="32"/>
          <w:szCs w:val="32"/>
        </w:rPr>
        <w:t>а</w:t>
      </w:r>
      <w:r w:rsidRPr="00887868">
        <w:rPr>
          <w:rFonts w:ascii="Times New Roman" w:hAnsi="Times New Roman" w:cs="Times New Roman"/>
          <w:sz w:val="32"/>
          <w:szCs w:val="32"/>
        </w:rPr>
        <w:t>медлен. Ген карликовости не останавливает рост в каком-то опр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деленном возрасте6 а проявляет свое действие в течение всего п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риода роста.</w:t>
      </w:r>
    </w:p>
    <w:p w:rsidR="006C0543" w:rsidRPr="00887868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К моменту полового созревания размер тела у карликовых н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сушек составляет 70% размера кур стандартного веса, а длина ко</w:t>
      </w:r>
      <w:r w:rsidRPr="00887868">
        <w:rPr>
          <w:rFonts w:ascii="Times New Roman" w:hAnsi="Times New Roman" w:cs="Times New Roman"/>
          <w:sz w:val="32"/>
          <w:szCs w:val="32"/>
        </w:rPr>
        <w:t>с</w:t>
      </w:r>
      <w:r w:rsidRPr="00887868">
        <w:rPr>
          <w:rFonts w:ascii="Times New Roman" w:hAnsi="Times New Roman" w:cs="Times New Roman"/>
          <w:sz w:val="32"/>
          <w:szCs w:val="32"/>
        </w:rPr>
        <w:t>тей ног - 76 % длины ног обычных кур.</w:t>
      </w:r>
    </w:p>
    <w:p w:rsidR="006C0543" w:rsidRPr="00887868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Ткани тела карликовой птицы содержат больше липидов, пр</w:t>
      </w:r>
      <w:r w:rsidRPr="00887868">
        <w:rPr>
          <w:rFonts w:ascii="Times New Roman" w:hAnsi="Times New Roman" w:cs="Times New Roman"/>
          <w:sz w:val="32"/>
          <w:szCs w:val="32"/>
        </w:rPr>
        <w:t>о</w:t>
      </w:r>
      <w:r w:rsidRPr="00887868">
        <w:rPr>
          <w:rFonts w:ascii="Times New Roman" w:hAnsi="Times New Roman" w:cs="Times New Roman"/>
          <w:sz w:val="32"/>
          <w:szCs w:val="32"/>
        </w:rPr>
        <w:t>цент внутреннего жира у них вдвое больше, чем у обычных кур.</w:t>
      </w:r>
    </w:p>
    <w:p w:rsidR="006C0543" w:rsidRPr="00887868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В нашу страну карликовая птица была завезена из Канады в 1969 году. Она положила начало созданию стада кур породы б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лый леггорн миниатюрной популяции.</w:t>
      </w:r>
    </w:p>
    <w:p w:rsidR="006C0543" w:rsidRPr="00887868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Вопросы кормления этой птиц не были разработаны. В теч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ние 1970 - 1973 гг. отделом кормления ВНИТИП были пров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дены исследования по разработке норм и соотношений питательных в</w:t>
      </w:r>
      <w:r w:rsidRPr="00887868">
        <w:rPr>
          <w:rFonts w:ascii="Times New Roman" w:hAnsi="Times New Roman" w:cs="Times New Roman"/>
          <w:sz w:val="32"/>
          <w:szCs w:val="32"/>
        </w:rPr>
        <w:t>е</w:t>
      </w:r>
      <w:r w:rsidRPr="00887868">
        <w:rPr>
          <w:rFonts w:ascii="Times New Roman" w:hAnsi="Times New Roman" w:cs="Times New Roman"/>
          <w:sz w:val="32"/>
          <w:szCs w:val="32"/>
        </w:rPr>
        <w:t>ществ в комбикормах для мини-молодняка.</w:t>
      </w:r>
    </w:p>
    <w:p w:rsidR="006C0543" w:rsidRDefault="006C0543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На основании данных, полученных в эксперименте на моло</w:t>
      </w:r>
      <w:r w:rsidRPr="00887868">
        <w:rPr>
          <w:rFonts w:ascii="Times New Roman" w:hAnsi="Times New Roman" w:cs="Times New Roman"/>
          <w:sz w:val="32"/>
          <w:szCs w:val="32"/>
        </w:rPr>
        <w:t>д</w:t>
      </w:r>
      <w:r w:rsidRPr="00887868">
        <w:rPr>
          <w:rFonts w:ascii="Times New Roman" w:hAnsi="Times New Roman" w:cs="Times New Roman"/>
          <w:sz w:val="32"/>
          <w:szCs w:val="32"/>
        </w:rPr>
        <w:t xml:space="preserve">няке, и проверке последствия примененных норм кормления </w:t>
      </w:r>
      <w:r w:rsidR="004E3AB9" w:rsidRPr="00887868">
        <w:rPr>
          <w:rFonts w:ascii="Times New Roman" w:hAnsi="Times New Roman" w:cs="Times New Roman"/>
          <w:sz w:val="32"/>
          <w:szCs w:val="32"/>
        </w:rPr>
        <w:t>на к</w:t>
      </w:r>
      <w:r w:rsidR="004E3AB9" w:rsidRPr="00887868">
        <w:rPr>
          <w:rFonts w:ascii="Times New Roman" w:hAnsi="Times New Roman" w:cs="Times New Roman"/>
          <w:sz w:val="32"/>
          <w:szCs w:val="32"/>
        </w:rPr>
        <w:t>у</w:t>
      </w:r>
      <w:r w:rsidR="004E3AB9" w:rsidRPr="00887868">
        <w:rPr>
          <w:rFonts w:ascii="Times New Roman" w:hAnsi="Times New Roman" w:cs="Times New Roman"/>
          <w:sz w:val="32"/>
          <w:szCs w:val="32"/>
        </w:rPr>
        <w:t>рах до 16-месячного возраста, а также производственной пр</w:t>
      </w:r>
      <w:r w:rsidR="004E3AB9" w:rsidRPr="00887868">
        <w:rPr>
          <w:rFonts w:ascii="Times New Roman" w:hAnsi="Times New Roman" w:cs="Times New Roman"/>
          <w:sz w:val="32"/>
          <w:szCs w:val="32"/>
        </w:rPr>
        <w:t>о</w:t>
      </w:r>
      <w:r w:rsidR="004E3AB9" w:rsidRPr="00887868">
        <w:rPr>
          <w:rFonts w:ascii="Times New Roman" w:hAnsi="Times New Roman" w:cs="Times New Roman"/>
          <w:sz w:val="32"/>
          <w:szCs w:val="32"/>
        </w:rPr>
        <w:t>верки, проведенной в Загорском экспериментальном хозяйстве ВНИТИП, предлагаются следующие рекомендации по кормл</w:t>
      </w:r>
      <w:r w:rsidR="004E3AB9" w:rsidRPr="00887868">
        <w:rPr>
          <w:rFonts w:ascii="Times New Roman" w:hAnsi="Times New Roman" w:cs="Times New Roman"/>
          <w:sz w:val="32"/>
          <w:szCs w:val="32"/>
        </w:rPr>
        <w:t>е</w:t>
      </w:r>
      <w:r w:rsidR="004E3AB9" w:rsidRPr="00887868">
        <w:rPr>
          <w:rFonts w:ascii="Times New Roman" w:hAnsi="Times New Roman" w:cs="Times New Roman"/>
          <w:sz w:val="32"/>
          <w:szCs w:val="32"/>
        </w:rPr>
        <w:t>нию молодняка карликовых леггорнов (мини-молодняка).</w:t>
      </w:r>
    </w:p>
    <w:p w:rsidR="00137A1A" w:rsidRPr="00887868" w:rsidRDefault="00137A1A" w:rsidP="002A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E3AB9" w:rsidRPr="00137A1A" w:rsidRDefault="004E3AB9" w:rsidP="004E3A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37A1A">
        <w:rPr>
          <w:rFonts w:ascii="Times New Roman" w:hAnsi="Times New Roman" w:cs="Times New Roman"/>
          <w:sz w:val="32"/>
          <w:szCs w:val="32"/>
        </w:rPr>
        <w:lastRenderedPageBreak/>
        <w:t>Х        Х</w:t>
      </w:r>
    </w:p>
    <w:p w:rsidR="004E3AB9" w:rsidRPr="00137A1A" w:rsidRDefault="004E3AB9" w:rsidP="004E3A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37A1A">
        <w:rPr>
          <w:rFonts w:ascii="Times New Roman" w:hAnsi="Times New Roman" w:cs="Times New Roman"/>
          <w:sz w:val="32"/>
          <w:szCs w:val="32"/>
        </w:rPr>
        <w:t>Х</w:t>
      </w:r>
    </w:p>
    <w:p w:rsidR="00137A1A" w:rsidRDefault="00137A1A" w:rsidP="004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E3AB9" w:rsidRPr="00887868" w:rsidRDefault="004E3AB9" w:rsidP="004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Кормление молодняка миниатюрных кур следует организов</w:t>
      </w:r>
      <w:r w:rsidRPr="00887868">
        <w:rPr>
          <w:rFonts w:ascii="Times New Roman" w:hAnsi="Times New Roman" w:cs="Times New Roman"/>
          <w:sz w:val="32"/>
          <w:szCs w:val="32"/>
        </w:rPr>
        <w:t>ы</w:t>
      </w:r>
      <w:r w:rsidRPr="00887868">
        <w:rPr>
          <w:rFonts w:ascii="Times New Roman" w:hAnsi="Times New Roman" w:cs="Times New Roman"/>
          <w:sz w:val="32"/>
          <w:szCs w:val="32"/>
        </w:rPr>
        <w:t>вать по двум возрастным периодам: 1 - 8 и 9 - 22 недели. С 22-недельного возраста молодняк постепенно переводят на рацион взрослых кур. Перевод осуществляется в течение мес</w:t>
      </w:r>
      <w:r w:rsidRPr="00887868">
        <w:rPr>
          <w:rFonts w:ascii="Times New Roman" w:hAnsi="Times New Roman" w:cs="Times New Roman"/>
          <w:sz w:val="32"/>
          <w:szCs w:val="32"/>
        </w:rPr>
        <w:t>я</w:t>
      </w:r>
      <w:r w:rsidRPr="00887868">
        <w:rPr>
          <w:rFonts w:ascii="Times New Roman" w:hAnsi="Times New Roman" w:cs="Times New Roman"/>
          <w:sz w:val="32"/>
          <w:szCs w:val="32"/>
        </w:rPr>
        <w:t>ца и с 6-месячного возраста молодку кормят по нормам взро</w:t>
      </w:r>
      <w:r w:rsidRPr="00887868">
        <w:rPr>
          <w:rFonts w:ascii="Times New Roman" w:hAnsi="Times New Roman" w:cs="Times New Roman"/>
          <w:sz w:val="32"/>
          <w:szCs w:val="32"/>
        </w:rPr>
        <w:t>с</w:t>
      </w:r>
      <w:r w:rsidRPr="00887868">
        <w:rPr>
          <w:rFonts w:ascii="Times New Roman" w:hAnsi="Times New Roman" w:cs="Times New Roman"/>
          <w:sz w:val="32"/>
          <w:szCs w:val="32"/>
        </w:rPr>
        <w:t>лых мини-кур.</w:t>
      </w:r>
    </w:p>
    <w:p w:rsidR="004E3AB9" w:rsidRDefault="004E3AB9" w:rsidP="004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868">
        <w:rPr>
          <w:rFonts w:ascii="Times New Roman" w:hAnsi="Times New Roman" w:cs="Times New Roman"/>
          <w:sz w:val="32"/>
          <w:szCs w:val="32"/>
        </w:rPr>
        <w:t>Рекомендуемые нормы питательных веществ для молодняка карликовых леггорнов приведены в таблице 1.</w:t>
      </w:r>
    </w:p>
    <w:p w:rsidR="00CA30F6" w:rsidRPr="00887868" w:rsidRDefault="00CA30F6" w:rsidP="004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E3AB9" w:rsidRDefault="004E3AB9" w:rsidP="004E3A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30F6">
        <w:rPr>
          <w:rFonts w:ascii="Times New Roman" w:hAnsi="Times New Roman" w:cs="Times New Roman"/>
          <w:sz w:val="24"/>
          <w:szCs w:val="24"/>
        </w:rPr>
        <w:t>Т а б л и ц а  1</w:t>
      </w:r>
    </w:p>
    <w:p w:rsidR="00137A1A" w:rsidRPr="00CA30F6" w:rsidRDefault="00137A1A" w:rsidP="004E3A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3AB9" w:rsidRDefault="00887868" w:rsidP="008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17A">
        <w:rPr>
          <w:rFonts w:ascii="Times New Roman" w:hAnsi="Times New Roman" w:cs="Times New Roman"/>
          <w:b/>
          <w:sz w:val="24"/>
          <w:szCs w:val="24"/>
        </w:rPr>
        <w:t>Нормы питательных веществ для молодняка карликовых ле</w:t>
      </w:r>
      <w:r w:rsidRPr="0012117A">
        <w:rPr>
          <w:rFonts w:ascii="Times New Roman" w:hAnsi="Times New Roman" w:cs="Times New Roman"/>
          <w:b/>
          <w:sz w:val="24"/>
          <w:szCs w:val="24"/>
        </w:rPr>
        <w:t>г</w:t>
      </w:r>
      <w:r w:rsidRPr="0012117A">
        <w:rPr>
          <w:rFonts w:ascii="Times New Roman" w:hAnsi="Times New Roman" w:cs="Times New Roman"/>
          <w:b/>
          <w:sz w:val="24"/>
          <w:szCs w:val="24"/>
        </w:rPr>
        <w:t>горнов</w:t>
      </w:r>
    </w:p>
    <w:p w:rsidR="00CA30F6" w:rsidRPr="0012117A" w:rsidRDefault="00CA30F6" w:rsidP="008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526"/>
        <w:gridCol w:w="1624"/>
        <w:gridCol w:w="1465"/>
        <w:gridCol w:w="1464"/>
        <w:gridCol w:w="1463"/>
        <w:gridCol w:w="1462"/>
      </w:tblGrid>
      <w:tr w:rsidR="00887868" w:rsidRPr="00CA30F6" w:rsidTr="00CA30F6">
        <w:trPr>
          <w:trHeight w:val="434"/>
        </w:trPr>
        <w:tc>
          <w:tcPr>
            <w:tcW w:w="1526" w:type="dxa"/>
            <w:vMerge w:val="restart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Периоды кормл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ния (н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дели)</w:t>
            </w:r>
          </w:p>
        </w:tc>
        <w:tc>
          <w:tcPr>
            <w:tcW w:w="7478" w:type="dxa"/>
            <w:gridSpan w:val="5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питательных веществ в 100 г комбикорма (%)</w:t>
            </w:r>
          </w:p>
        </w:tc>
      </w:tr>
      <w:tr w:rsidR="00887868" w:rsidRPr="00CA30F6" w:rsidTr="00CA30F6">
        <w:trPr>
          <w:trHeight w:val="966"/>
        </w:trPr>
        <w:tc>
          <w:tcPr>
            <w:tcW w:w="1526" w:type="dxa"/>
            <w:vMerge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Сырой пр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теин</w:t>
            </w:r>
          </w:p>
        </w:tc>
        <w:tc>
          <w:tcPr>
            <w:tcW w:w="1465" w:type="dxa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Обменная энергия (ккал)</w:t>
            </w:r>
          </w:p>
        </w:tc>
        <w:tc>
          <w:tcPr>
            <w:tcW w:w="1464" w:type="dxa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Кальций</w:t>
            </w:r>
          </w:p>
        </w:tc>
        <w:tc>
          <w:tcPr>
            <w:tcW w:w="1463" w:type="dxa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Фор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фор</w:t>
            </w:r>
          </w:p>
        </w:tc>
        <w:tc>
          <w:tcPr>
            <w:tcW w:w="1462" w:type="dxa"/>
          </w:tcPr>
          <w:p w:rsidR="00887868" w:rsidRPr="00CA30F6" w:rsidRDefault="00887868" w:rsidP="0088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Натрий</w:t>
            </w:r>
          </w:p>
        </w:tc>
      </w:tr>
      <w:tr w:rsidR="00887868" w:rsidRPr="0012117A" w:rsidTr="00887868">
        <w:tc>
          <w:tcPr>
            <w:tcW w:w="1526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 xml:space="preserve">1 - 8 </w:t>
            </w:r>
          </w:p>
        </w:tc>
        <w:tc>
          <w:tcPr>
            <w:tcW w:w="1624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290 - 295</w:t>
            </w:r>
          </w:p>
        </w:tc>
        <w:tc>
          <w:tcPr>
            <w:tcW w:w="1464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63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2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0,3 - 0,4</w:t>
            </w:r>
          </w:p>
        </w:tc>
      </w:tr>
      <w:tr w:rsidR="00887868" w:rsidRPr="0012117A" w:rsidTr="00887868">
        <w:tc>
          <w:tcPr>
            <w:tcW w:w="1526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9 - 22</w:t>
            </w:r>
          </w:p>
        </w:tc>
        <w:tc>
          <w:tcPr>
            <w:tcW w:w="1624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5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260 - 365</w:t>
            </w:r>
          </w:p>
        </w:tc>
        <w:tc>
          <w:tcPr>
            <w:tcW w:w="1464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63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2" w:type="dxa"/>
          </w:tcPr>
          <w:p w:rsidR="00887868" w:rsidRPr="0012117A" w:rsidRDefault="00887868" w:rsidP="008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0,3 - 0,4</w:t>
            </w:r>
          </w:p>
        </w:tc>
      </w:tr>
    </w:tbl>
    <w:p w:rsidR="00887868" w:rsidRPr="0012117A" w:rsidRDefault="00887868" w:rsidP="008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868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117A">
        <w:rPr>
          <w:rFonts w:ascii="Times New Roman" w:hAnsi="Times New Roman" w:cs="Times New Roman"/>
          <w:sz w:val="32"/>
          <w:szCs w:val="32"/>
        </w:rPr>
        <w:t xml:space="preserve">При указанных нормах </w:t>
      </w:r>
      <w:r>
        <w:rPr>
          <w:rFonts w:ascii="Times New Roman" w:hAnsi="Times New Roman" w:cs="Times New Roman"/>
          <w:sz w:val="32"/>
          <w:szCs w:val="32"/>
        </w:rPr>
        <w:t>рекомендуется следующая приме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ная структура кормового рациона для мини-молодняка (%):</w:t>
      </w:r>
    </w:p>
    <w:p w:rsidR="0012117A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001"/>
        <w:gridCol w:w="3001"/>
        <w:gridCol w:w="3002"/>
      </w:tblGrid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1 - 8 недель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9 - 22 недели</w:t>
            </w:r>
          </w:p>
        </w:tc>
      </w:tr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Зерновые корма</w:t>
            </w: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Жмыхи, шроты</w:t>
            </w: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Животные корма</w:t>
            </w: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Дрожжи гидроли</w:t>
            </w: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Травяная мука</w:t>
            </w: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17A" w:rsidRPr="0012117A" w:rsidTr="0012117A"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Минеральные ко</w:t>
            </w: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001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12117A" w:rsidRPr="0012117A" w:rsidRDefault="0012117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117A" w:rsidRPr="0012117A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17A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Основным источником энергии в рационе должны быть зе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новые корма: кукуруза, пшеница, ячмень, овес, просо.</w:t>
      </w:r>
    </w:p>
    <w:p w:rsidR="0012117A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Сырой протеин в рационах мини-молодняка следует баланс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ровать за счет жмыхов, шротов и животных кормов. при недо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татке в рационе метионина добавляют синтетический препарат этой ам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нокислоты. Нормы метионина + цистина для мини-молодняка в расчете на 100 г. комбикорма следующие: при 20 % сырого проте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 не менее 750 мг и при 16 % сырого протеина - 600 мг.</w:t>
      </w:r>
    </w:p>
    <w:p w:rsidR="0012117A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Количество минеральных веществ в рационе следует регул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ровать за счет добавок ракушки, мела, костяной муки и поваре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ной соли.</w:t>
      </w:r>
    </w:p>
    <w:p w:rsidR="0012117A" w:rsidRDefault="0012117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Кормить мини-молодняк следует сухим полноценным комб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кормом, желательно гранулированным.</w:t>
      </w:r>
    </w:p>
    <w:p w:rsidR="00B73727" w:rsidRDefault="00B7372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Первые 4 дня жизни мини-молодняк должен получать нул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вой рацион, в 100 г которого содержится 305 - 310 ккал обменной эне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гии и 18 - 19 % сырого протеина. Состав рациона следующий: пш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ница молотая - 16 %, кукуруза молотая - 50 %, ячменная мука - 8 %, соевый шрот - 14 %, сухой обрат - 12 %.</w:t>
      </w:r>
    </w:p>
    <w:p w:rsidR="00B73727" w:rsidRDefault="00B7372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Пшеница и кукуруза должны быть в виде крупки, с разм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ром частиц в пределах 1 - 2 мм, С 5-го дня жизни молодняк пер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водят на комбикорм для первого возрастного периода. Примерный с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став комбикорма приведен в таблице 2. ПО достижении 8-недельного возраста молодняк переводят на комбикорм для второго возрастн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го периода (табл. 2) Переходя на новую кормосмесь проводят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степенно в течение 3 дней. В первый день д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бавляют 30 % новой кормосмеси, во второй - 50, в третий - 75 и с четверт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го дня - 100 %.</w:t>
      </w:r>
    </w:p>
    <w:p w:rsidR="00B73727" w:rsidRDefault="00B7372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Витаминные препараты, микроэлементы, кокцидиостатики, антибиотики, синтетический метионин и другие добавки вводят в комбикорм в виде премикса, который должен быть тщательно п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ремешан с комбикормом. </w:t>
      </w:r>
    </w:p>
    <w:p w:rsidR="00B73727" w:rsidRDefault="00B7372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Ориентировочные нормы расхода корма на 1 голову в день по неделям выращивания приведены в таблице 3.</w:t>
      </w:r>
    </w:p>
    <w:p w:rsidR="00CA30F6" w:rsidRDefault="00CA30F6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73727" w:rsidRDefault="00B73727" w:rsidP="00B737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30F6">
        <w:rPr>
          <w:rFonts w:ascii="Times New Roman" w:hAnsi="Times New Roman" w:cs="Times New Roman"/>
          <w:sz w:val="24"/>
          <w:szCs w:val="24"/>
        </w:rPr>
        <w:t>Т а б л и ц а  2</w:t>
      </w:r>
    </w:p>
    <w:p w:rsidR="00137A1A" w:rsidRPr="00CA30F6" w:rsidRDefault="00137A1A" w:rsidP="00B737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5BC9" w:rsidRDefault="00B73727" w:rsidP="00445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C9">
        <w:rPr>
          <w:rFonts w:ascii="Times New Roman" w:hAnsi="Times New Roman" w:cs="Times New Roman"/>
          <w:b/>
          <w:sz w:val="24"/>
          <w:szCs w:val="24"/>
        </w:rPr>
        <w:t xml:space="preserve">Рецепты </w:t>
      </w:r>
      <w:r w:rsidR="00445BC9" w:rsidRPr="00445BC9">
        <w:rPr>
          <w:rFonts w:ascii="Times New Roman" w:hAnsi="Times New Roman" w:cs="Times New Roman"/>
          <w:b/>
          <w:sz w:val="24"/>
          <w:szCs w:val="24"/>
        </w:rPr>
        <w:t>комбикормов</w:t>
      </w:r>
      <w:r w:rsidRPr="00445BC9">
        <w:rPr>
          <w:rFonts w:ascii="Times New Roman" w:hAnsi="Times New Roman" w:cs="Times New Roman"/>
          <w:b/>
          <w:sz w:val="24"/>
          <w:szCs w:val="24"/>
        </w:rPr>
        <w:t xml:space="preserve"> для молодняка карликовых </w:t>
      </w:r>
    </w:p>
    <w:p w:rsidR="00B73727" w:rsidRDefault="00B73727" w:rsidP="00445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C9">
        <w:rPr>
          <w:rFonts w:ascii="Times New Roman" w:hAnsi="Times New Roman" w:cs="Times New Roman"/>
          <w:b/>
          <w:sz w:val="24"/>
          <w:szCs w:val="24"/>
        </w:rPr>
        <w:t>легго</w:t>
      </w:r>
      <w:r w:rsidRPr="00445BC9">
        <w:rPr>
          <w:rFonts w:ascii="Times New Roman" w:hAnsi="Times New Roman" w:cs="Times New Roman"/>
          <w:b/>
          <w:sz w:val="24"/>
          <w:szCs w:val="24"/>
        </w:rPr>
        <w:t>р</w:t>
      </w:r>
      <w:r w:rsidRPr="00445BC9">
        <w:rPr>
          <w:rFonts w:ascii="Times New Roman" w:hAnsi="Times New Roman" w:cs="Times New Roman"/>
          <w:b/>
          <w:sz w:val="24"/>
          <w:szCs w:val="24"/>
        </w:rPr>
        <w:t>нов (%)</w:t>
      </w:r>
    </w:p>
    <w:p w:rsidR="00CA30F6" w:rsidRDefault="00CA30F6" w:rsidP="00445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219"/>
        <w:gridCol w:w="2410"/>
        <w:gridCol w:w="2375"/>
      </w:tblGrid>
      <w:tr w:rsidR="00445BC9" w:rsidRPr="00CA30F6" w:rsidTr="00CA30F6">
        <w:trPr>
          <w:trHeight w:val="1054"/>
        </w:trPr>
        <w:tc>
          <w:tcPr>
            <w:tcW w:w="4219" w:type="dxa"/>
            <w:vAlign w:val="center"/>
          </w:tcPr>
          <w:p w:rsidR="00445BC9" w:rsidRPr="00CA30F6" w:rsidRDefault="00445BC9" w:rsidP="00CA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И н г р е д и е н т ы</w:t>
            </w:r>
          </w:p>
        </w:tc>
        <w:tc>
          <w:tcPr>
            <w:tcW w:w="2410" w:type="dxa"/>
            <w:vAlign w:val="center"/>
          </w:tcPr>
          <w:p w:rsidR="00445BC9" w:rsidRPr="00CA30F6" w:rsidRDefault="00445BC9" w:rsidP="00CA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До 8-недельного возраста</w:t>
            </w:r>
          </w:p>
        </w:tc>
        <w:tc>
          <w:tcPr>
            <w:tcW w:w="2375" w:type="dxa"/>
            <w:vAlign w:val="center"/>
          </w:tcPr>
          <w:p w:rsidR="00445BC9" w:rsidRPr="00CA30F6" w:rsidRDefault="00445BC9" w:rsidP="00CA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В 9 -- 22 недельном во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расте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Ячмень 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Шрот соевый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Шрот подсолнечниковый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рыбная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мясокостная 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445BC9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 сухой</w:t>
            </w:r>
          </w:p>
        </w:tc>
        <w:tc>
          <w:tcPr>
            <w:tcW w:w="2410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445BC9" w:rsidRDefault="00445BC9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C9" w:rsidRPr="00445BC9" w:rsidTr="00445BC9">
        <w:tc>
          <w:tcPr>
            <w:tcW w:w="4219" w:type="dxa"/>
          </w:tcPr>
          <w:p w:rsidR="00445BC9" w:rsidRDefault="007159FB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гидролизные </w:t>
            </w:r>
          </w:p>
        </w:tc>
        <w:tc>
          <w:tcPr>
            <w:tcW w:w="2410" w:type="dxa"/>
          </w:tcPr>
          <w:p w:rsidR="00445BC9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445BC9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9FB" w:rsidRPr="00445BC9" w:rsidTr="00445BC9">
        <w:tc>
          <w:tcPr>
            <w:tcW w:w="4219" w:type="dxa"/>
          </w:tcPr>
          <w:p w:rsidR="007159FB" w:rsidRDefault="007159FB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травяная </w:t>
            </w:r>
          </w:p>
        </w:tc>
        <w:tc>
          <w:tcPr>
            <w:tcW w:w="2410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9FB" w:rsidRPr="00445BC9" w:rsidTr="00445BC9">
        <w:tc>
          <w:tcPr>
            <w:tcW w:w="4219" w:type="dxa"/>
          </w:tcPr>
          <w:p w:rsidR="007159FB" w:rsidRDefault="007159FB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</w:tc>
        <w:tc>
          <w:tcPr>
            <w:tcW w:w="2410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5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159FB" w:rsidRPr="00445BC9" w:rsidTr="00445BC9">
        <w:tc>
          <w:tcPr>
            <w:tcW w:w="4219" w:type="dxa"/>
          </w:tcPr>
          <w:p w:rsidR="007159FB" w:rsidRDefault="007159FB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костяная </w:t>
            </w:r>
          </w:p>
        </w:tc>
        <w:tc>
          <w:tcPr>
            <w:tcW w:w="2410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9FB" w:rsidRPr="00445BC9" w:rsidTr="00445BC9">
        <w:tc>
          <w:tcPr>
            <w:tcW w:w="4219" w:type="dxa"/>
          </w:tcPr>
          <w:p w:rsidR="007159FB" w:rsidRDefault="007159FB" w:rsidP="0071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410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75" w:type="dxa"/>
          </w:tcPr>
          <w:p w:rsidR="007159FB" w:rsidRDefault="007159FB" w:rsidP="0044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59FB" w:rsidRPr="00445BC9" w:rsidTr="00445BC9">
        <w:tc>
          <w:tcPr>
            <w:tcW w:w="4219" w:type="dxa"/>
          </w:tcPr>
          <w:p w:rsidR="007159FB" w:rsidRPr="007159FB" w:rsidRDefault="007159FB" w:rsidP="007159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7159FB" w:rsidRPr="007159FB" w:rsidRDefault="007159FB" w:rsidP="0044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7159FB" w:rsidRPr="007159FB" w:rsidRDefault="007159FB" w:rsidP="0044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73727" w:rsidRDefault="00B7372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59FB" w:rsidRDefault="007159FB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100 г комбикорма содержится (г):</w:t>
      </w:r>
    </w:p>
    <w:p w:rsidR="007159FB" w:rsidRDefault="007159FB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4219"/>
        <w:gridCol w:w="2410"/>
        <w:gridCol w:w="2375"/>
      </w:tblGrid>
      <w:tr w:rsidR="007159FB" w:rsidRPr="007159FB" w:rsidTr="007159FB">
        <w:tc>
          <w:tcPr>
            <w:tcW w:w="4219" w:type="dxa"/>
          </w:tcPr>
          <w:p w:rsidR="007159FB" w:rsidRP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Сырого протеина</w:t>
            </w:r>
          </w:p>
        </w:tc>
        <w:tc>
          <w:tcPr>
            <w:tcW w:w="2410" w:type="dxa"/>
          </w:tcPr>
          <w:p w:rsidR="007159FB" w:rsidRP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375" w:type="dxa"/>
          </w:tcPr>
          <w:p w:rsidR="007159FB" w:rsidRP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Обменной энергии (ккал)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290,5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 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Сырого жира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Сырой клетчатки 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1252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Фосфора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414,1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9FB" w:rsidRDefault="007159FB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59FB" w:rsidRDefault="007159FB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аминокислот (мг):</w:t>
      </w:r>
    </w:p>
    <w:p w:rsidR="007159FB" w:rsidRDefault="007159FB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4219"/>
        <w:gridCol w:w="2410"/>
        <w:gridCol w:w="2375"/>
      </w:tblGrid>
      <w:tr w:rsidR="007159FB" w:rsidRPr="007159FB" w:rsidTr="007159FB">
        <w:tc>
          <w:tcPr>
            <w:tcW w:w="4219" w:type="dxa"/>
          </w:tcPr>
          <w:p w:rsidR="007159FB" w:rsidRP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Лизина </w:t>
            </w:r>
          </w:p>
        </w:tc>
        <w:tc>
          <w:tcPr>
            <w:tcW w:w="2410" w:type="dxa"/>
          </w:tcPr>
          <w:p w:rsidR="007159FB" w:rsidRP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75" w:type="dxa"/>
          </w:tcPr>
          <w:p w:rsidR="007159FB" w:rsidRP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Метионина 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375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Цистина</w:t>
            </w:r>
          </w:p>
        </w:tc>
        <w:tc>
          <w:tcPr>
            <w:tcW w:w="2410" w:type="dxa"/>
          </w:tcPr>
          <w:p w:rsidR="007159FB" w:rsidRDefault="007159FB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375" w:type="dxa"/>
          </w:tcPr>
          <w:p w:rsidR="007159FB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7159FB" w:rsidRPr="007159FB" w:rsidTr="007159FB">
        <w:tc>
          <w:tcPr>
            <w:tcW w:w="4219" w:type="dxa"/>
          </w:tcPr>
          <w:p w:rsidR="007159FB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Триптофана</w:t>
            </w:r>
          </w:p>
        </w:tc>
        <w:tc>
          <w:tcPr>
            <w:tcW w:w="2410" w:type="dxa"/>
          </w:tcPr>
          <w:p w:rsidR="007159FB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375" w:type="dxa"/>
          </w:tcPr>
          <w:p w:rsidR="007159FB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157FBA" w:rsidRPr="007159FB" w:rsidTr="007159FB">
        <w:tc>
          <w:tcPr>
            <w:tcW w:w="4219" w:type="dxa"/>
          </w:tcPr>
          <w:p w:rsidR="00157FBA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Добавляется метионина на 1т/г</w:t>
            </w:r>
          </w:p>
        </w:tc>
        <w:tc>
          <w:tcPr>
            <w:tcW w:w="2410" w:type="dxa"/>
          </w:tcPr>
          <w:p w:rsidR="00157FBA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2375" w:type="dxa"/>
          </w:tcPr>
          <w:p w:rsidR="00157FBA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</w:tr>
    </w:tbl>
    <w:p w:rsidR="007159FB" w:rsidRDefault="007159FB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57FBA" w:rsidRDefault="00157FBA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1 т корма добавляют: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1 - 22 недели</w:t>
      </w:r>
    </w:p>
    <w:p w:rsidR="00CA30F6" w:rsidRDefault="00CA30F6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6204"/>
        <w:gridCol w:w="2800"/>
      </w:tblGrid>
      <w:tr w:rsidR="00157FBA" w:rsidRPr="00157FBA" w:rsidTr="00157FBA">
        <w:tc>
          <w:tcPr>
            <w:tcW w:w="6204" w:type="dxa"/>
          </w:tcPr>
          <w:p w:rsidR="00157FBA" w:rsidRPr="00157FBA" w:rsidRDefault="00157FBA" w:rsidP="008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Витамина А, млн. ИЕ</w:t>
            </w:r>
          </w:p>
        </w:tc>
        <w:tc>
          <w:tcPr>
            <w:tcW w:w="2800" w:type="dxa"/>
          </w:tcPr>
          <w:p w:rsidR="00157FBA" w:rsidRP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P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ИЕ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ИЕ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С, </w:t>
            </w:r>
            <w:r w:rsidR="00F6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РР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7FBA" w:rsidRPr="00157FBA" w:rsidTr="00157FBA">
        <w:tc>
          <w:tcPr>
            <w:tcW w:w="6204" w:type="dxa"/>
          </w:tcPr>
          <w:p w:rsidR="00157FBA" w:rsidRDefault="00157FBA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F65B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157FBA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    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12,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Марганца сернокислого,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сернокислого,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Цинка сернокислого,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 сернокислой,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Кобальта углекислого,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йодистого,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Антибиотиков,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5B68" w:rsidRPr="00157FBA" w:rsidTr="00157FBA">
        <w:tc>
          <w:tcPr>
            <w:tcW w:w="6204" w:type="dxa"/>
          </w:tcPr>
          <w:p w:rsidR="00F65B68" w:rsidRDefault="00F65B68" w:rsidP="00157FB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Кокцидиостатиков (до 8-недельного возраста) , г</w:t>
            </w:r>
          </w:p>
        </w:tc>
        <w:tc>
          <w:tcPr>
            <w:tcW w:w="2800" w:type="dxa"/>
          </w:tcPr>
          <w:p w:rsidR="00F65B68" w:rsidRDefault="00F65B68" w:rsidP="0015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157FBA" w:rsidRDefault="00157FBA" w:rsidP="00F65B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5B68" w:rsidRPr="00F65B68" w:rsidRDefault="00F65B68" w:rsidP="00F65B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б л и ц а  3</w:t>
      </w:r>
    </w:p>
    <w:p w:rsidR="00CA30F6" w:rsidRDefault="00CA30F6" w:rsidP="00F65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FBA" w:rsidRDefault="00F65B68" w:rsidP="00F65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68">
        <w:rPr>
          <w:rFonts w:ascii="Times New Roman" w:hAnsi="Times New Roman" w:cs="Times New Roman"/>
          <w:b/>
          <w:sz w:val="24"/>
          <w:szCs w:val="24"/>
        </w:rPr>
        <w:t>Ориентировочные нормы расхода корма для мини-молодняка (г)</w:t>
      </w:r>
    </w:p>
    <w:p w:rsidR="00CA30F6" w:rsidRPr="00F65B68" w:rsidRDefault="00CA30F6" w:rsidP="00F65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1526"/>
        <w:gridCol w:w="1474"/>
        <w:gridCol w:w="1618"/>
        <w:gridCol w:w="1384"/>
        <w:gridCol w:w="1618"/>
        <w:gridCol w:w="1384"/>
      </w:tblGrid>
      <w:tr w:rsidR="00ED45C3" w:rsidRPr="00CA30F6" w:rsidTr="00CA30F6">
        <w:trPr>
          <w:trHeight w:val="1237"/>
          <w:jc w:val="center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Недели   выращив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7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корма</w:t>
            </w:r>
          </w:p>
        </w:tc>
        <w:tc>
          <w:tcPr>
            <w:tcW w:w="16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выращив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8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корма</w:t>
            </w:r>
          </w:p>
        </w:tc>
        <w:tc>
          <w:tcPr>
            <w:tcW w:w="16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Недели     выращив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Pr="00CA30F6" w:rsidRDefault="00F65B68" w:rsidP="00F6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корма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ED45C3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righ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  <w:tcBorders>
              <w:left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68" w:rsidTr="00ED45C3">
        <w:trPr>
          <w:jc w:val="center"/>
        </w:trPr>
        <w:tc>
          <w:tcPr>
            <w:tcW w:w="152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Default="004678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5B68" w:rsidRDefault="004678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Default="004678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65B68" w:rsidRDefault="004678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  <w:vAlign w:val="center"/>
          </w:tcPr>
          <w:p w:rsidR="00F65B68" w:rsidRDefault="00F65B68" w:rsidP="00F6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B68" w:rsidRPr="00F65B68" w:rsidRDefault="00F65B68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B68" w:rsidRDefault="00ED45C3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Затраты корма на выращивание одной головы в среднем с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ставляют: за первые 8 недель - 1,2 - 1,3 кг, с 9-ой по 22-ую нед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лю - 4,5 - 5,1 кг, с 1-ой по 22-ую неделю - 5,7 - 6,4 кг.</w:t>
      </w:r>
    </w:p>
    <w:p w:rsidR="00ED45C3" w:rsidRDefault="00ED45C3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контроля за ходом выращивания молодняка в таблице 4 приведен средний живой вес мини-молодняка в 8-, 10-, и 22-нещдельном возрасте.</w:t>
      </w:r>
    </w:p>
    <w:p w:rsidR="00ED45C3" w:rsidRDefault="00ED45C3" w:rsidP="00ED45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б л и ц а 4</w:t>
      </w:r>
    </w:p>
    <w:p w:rsidR="00CA30F6" w:rsidRDefault="00CA30F6" w:rsidP="00ED45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7A1A" w:rsidRDefault="00ED45C3" w:rsidP="00ED4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живой вес молодняка</w:t>
      </w:r>
    </w:p>
    <w:p w:rsidR="00ED45C3" w:rsidRPr="00ED45C3" w:rsidRDefault="00ED45C3" w:rsidP="00ED4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карликовых леггорнов (г)</w:t>
      </w:r>
    </w:p>
    <w:p w:rsidR="00ED45C3" w:rsidRPr="00ED45C3" w:rsidRDefault="00ED45C3" w:rsidP="00ED45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01"/>
        <w:gridCol w:w="3001"/>
        <w:gridCol w:w="3002"/>
      </w:tblGrid>
      <w:tr w:rsidR="00ED45C3" w:rsidRPr="00CA30F6" w:rsidTr="00CA30F6">
        <w:trPr>
          <w:trHeight w:val="739"/>
        </w:trPr>
        <w:tc>
          <w:tcPr>
            <w:tcW w:w="3001" w:type="dxa"/>
            <w:vAlign w:val="center"/>
          </w:tcPr>
          <w:p w:rsidR="00ED45C3" w:rsidRPr="00CA30F6" w:rsidRDefault="00ED45C3" w:rsidP="00CA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(недели)</w:t>
            </w:r>
          </w:p>
        </w:tc>
        <w:tc>
          <w:tcPr>
            <w:tcW w:w="3001" w:type="dxa"/>
            <w:vAlign w:val="center"/>
          </w:tcPr>
          <w:p w:rsidR="00ED45C3" w:rsidRPr="00CA30F6" w:rsidRDefault="00ED45C3" w:rsidP="00CA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Курочки</w:t>
            </w:r>
          </w:p>
        </w:tc>
        <w:tc>
          <w:tcPr>
            <w:tcW w:w="3002" w:type="dxa"/>
            <w:vAlign w:val="center"/>
          </w:tcPr>
          <w:p w:rsidR="00ED45C3" w:rsidRPr="00CA30F6" w:rsidRDefault="00ED45C3" w:rsidP="00CA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F6">
              <w:rPr>
                <w:rFonts w:ascii="Times New Roman" w:hAnsi="Times New Roman" w:cs="Times New Roman"/>
                <w:b/>
                <w:sz w:val="24"/>
                <w:szCs w:val="24"/>
              </w:rPr>
              <w:t>Петушки</w:t>
            </w:r>
          </w:p>
        </w:tc>
      </w:tr>
      <w:tr w:rsidR="00ED45C3" w:rsidTr="00ED45C3">
        <w:tc>
          <w:tcPr>
            <w:tcW w:w="3001" w:type="dxa"/>
          </w:tcPr>
          <w:p w:rsidR="00ED45C3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</w:tcPr>
          <w:p w:rsidR="00ED45C3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430 - 450</w:t>
            </w:r>
          </w:p>
        </w:tc>
        <w:tc>
          <w:tcPr>
            <w:tcW w:w="3002" w:type="dxa"/>
          </w:tcPr>
          <w:p w:rsidR="00ED45C3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520 - 570</w:t>
            </w:r>
          </w:p>
        </w:tc>
      </w:tr>
      <w:tr w:rsidR="008C1F77" w:rsidTr="00ED45C3">
        <w:tc>
          <w:tcPr>
            <w:tcW w:w="3001" w:type="dxa"/>
          </w:tcPr>
          <w:p w:rsidR="008C1F77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1" w:type="dxa"/>
          </w:tcPr>
          <w:p w:rsidR="008C1F77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525 - 530</w:t>
            </w:r>
          </w:p>
        </w:tc>
        <w:tc>
          <w:tcPr>
            <w:tcW w:w="3002" w:type="dxa"/>
          </w:tcPr>
          <w:p w:rsidR="008C1F77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680 - 700</w:t>
            </w:r>
          </w:p>
        </w:tc>
      </w:tr>
      <w:tr w:rsidR="008C1F77" w:rsidTr="00ED45C3">
        <w:tc>
          <w:tcPr>
            <w:tcW w:w="3001" w:type="dxa"/>
          </w:tcPr>
          <w:p w:rsidR="008C1F77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1" w:type="dxa"/>
          </w:tcPr>
          <w:p w:rsidR="008C1F77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1100 - 1130</w:t>
            </w:r>
          </w:p>
        </w:tc>
        <w:tc>
          <w:tcPr>
            <w:tcW w:w="3002" w:type="dxa"/>
          </w:tcPr>
          <w:p w:rsidR="008C1F77" w:rsidRDefault="008C1F77" w:rsidP="00ED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1370 - 1400</w:t>
            </w:r>
          </w:p>
        </w:tc>
      </w:tr>
    </w:tbl>
    <w:p w:rsidR="00ED45C3" w:rsidRPr="00ED45C3" w:rsidRDefault="00ED45C3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5C3" w:rsidRDefault="008C1F7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выращивании мини-молодняка нецелесообразно прим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нять ограниченное кормление. Хотя ограниченное кормление и з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держивает наступление яйцекладки на 13 дней, а возраст кур при достижении 50 %-ной яйцекладки увеличивается (200 вместо 187 дней), но продуктивность птицы, выращенной при огран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ченном </w:t>
      </w:r>
      <w:r>
        <w:rPr>
          <w:rFonts w:ascii="Times New Roman" w:hAnsi="Times New Roman" w:cs="Times New Roman"/>
          <w:sz w:val="32"/>
          <w:szCs w:val="32"/>
        </w:rPr>
        <w:lastRenderedPageBreak/>
        <w:t>кормлении, не повышается; кроме того, такие куры несут более мелкие яйца, а вывод цыплят из яиц ниже. Ограниченное кормл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ние задерживает рост, который в дальнейшем не компе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сируется до конца продуктивного п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риода.</w:t>
      </w:r>
    </w:p>
    <w:p w:rsidR="008C1F77" w:rsidRDefault="008C1F7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организации кормления мини-молодняка следует иметь в виду, что рост этой птицы и нормальное ее развитие в знач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тельной мере обуславливаются эффективностью использования корма, так как мини-молодняку присущ высокий уровень использования пит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тельных веществ рациона. Однако проявление генетической сп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собности птицы во многом определяется рядом др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гих факторов. Так, на использование кормов большое влияние оказывают, кроме условий кормления, усл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вия содержания.</w:t>
      </w:r>
    </w:p>
    <w:p w:rsidR="008C1F77" w:rsidRDefault="008C1F77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Температура в помещении выше оптимальной ведет к угнет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нию пищеварительной деятельности. Отрицательное влияние на усвояемость корма оказывает высокая концентрация атмосферн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го аммиака. </w:t>
      </w:r>
      <w:r w:rsidR="0000335E">
        <w:rPr>
          <w:rFonts w:ascii="Times New Roman" w:hAnsi="Times New Roman" w:cs="Times New Roman"/>
          <w:sz w:val="32"/>
          <w:szCs w:val="32"/>
        </w:rPr>
        <w:t>Поэтому при выращивании мини-молодняка не мен</w:t>
      </w:r>
      <w:r w:rsidR="0000335E">
        <w:rPr>
          <w:rFonts w:ascii="Times New Roman" w:hAnsi="Times New Roman" w:cs="Times New Roman"/>
          <w:sz w:val="32"/>
          <w:szCs w:val="32"/>
        </w:rPr>
        <w:t>ь</w:t>
      </w:r>
      <w:r w:rsidR="0000335E">
        <w:rPr>
          <w:rFonts w:ascii="Times New Roman" w:hAnsi="Times New Roman" w:cs="Times New Roman"/>
          <w:sz w:val="32"/>
          <w:szCs w:val="32"/>
        </w:rPr>
        <w:t>шее внимание, чем организации кормления, надо уделять пр</w:t>
      </w:r>
      <w:r w:rsidR="0000335E">
        <w:rPr>
          <w:rFonts w:ascii="Times New Roman" w:hAnsi="Times New Roman" w:cs="Times New Roman"/>
          <w:sz w:val="32"/>
          <w:szCs w:val="32"/>
        </w:rPr>
        <w:t>а</w:t>
      </w:r>
      <w:r w:rsidR="0000335E">
        <w:rPr>
          <w:rFonts w:ascii="Times New Roman" w:hAnsi="Times New Roman" w:cs="Times New Roman"/>
          <w:sz w:val="32"/>
          <w:szCs w:val="32"/>
        </w:rPr>
        <w:t>вильному содержанию молодняка. Температурно-влажностный и световой режимы при выращивании мини-молодняка следует с</w:t>
      </w:r>
      <w:r w:rsidR="0000335E">
        <w:rPr>
          <w:rFonts w:ascii="Times New Roman" w:hAnsi="Times New Roman" w:cs="Times New Roman"/>
          <w:sz w:val="32"/>
          <w:szCs w:val="32"/>
        </w:rPr>
        <w:t>о</w:t>
      </w:r>
      <w:r w:rsidR="0000335E">
        <w:rPr>
          <w:rFonts w:ascii="Times New Roman" w:hAnsi="Times New Roman" w:cs="Times New Roman"/>
          <w:sz w:val="32"/>
          <w:szCs w:val="32"/>
        </w:rPr>
        <w:t>блюдать в пределах рекомендуемых норм для яичного молодняка. Плотность посадки мини-молодняка можно увеличить на 30-35 % по сравн</w:t>
      </w:r>
      <w:r w:rsidR="0000335E">
        <w:rPr>
          <w:rFonts w:ascii="Times New Roman" w:hAnsi="Times New Roman" w:cs="Times New Roman"/>
          <w:sz w:val="32"/>
          <w:szCs w:val="32"/>
        </w:rPr>
        <w:t>е</w:t>
      </w:r>
      <w:r w:rsidR="0000335E">
        <w:rPr>
          <w:rFonts w:ascii="Times New Roman" w:hAnsi="Times New Roman" w:cs="Times New Roman"/>
          <w:sz w:val="32"/>
          <w:szCs w:val="32"/>
        </w:rPr>
        <w:t>нию с плотностью посадки молодняка кур обычного ж</w:t>
      </w:r>
      <w:r w:rsidR="0000335E">
        <w:rPr>
          <w:rFonts w:ascii="Times New Roman" w:hAnsi="Times New Roman" w:cs="Times New Roman"/>
          <w:sz w:val="32"/>
          <w:szCs w:val="32"/>
        </w:rPr>
        <w:t>и</w:t>
      </w:r>
      <w:r w:rsidR="0000335E">
        <w:rPr>
          <w:rFonts w:ascii="Times New Roman" w:hAnsi="Times New Roman" w:cs="Times New Roman"/>
          <w:sz w:val="32"/>
          <w:szCs w:val="32"/>
        </w:rPr>
        <w:t>вого веса яичного направления пр</w:t>
      </w:r>
      <w:r w:rsidR="0000335E">
        <w:rPr>
          <w:rFonts w:ascii="Times New Roman" w:hAnsi="Times New Roman" w:cs="Times New Roman"/>
          <w:sz w:val="32"/>
          <w:szCs w:val="32"/>
        </w:rPr>
        <w:t>о</w:t>
      </w:r>
      <w:r w:rsidR="0000335E">
        <w:rPr>
          <w:rFonts w:ascii="Times New Roman" w:hAnsi="Times New Roman" w:cs="Times New Roman"/>
          <w:sz w:val="32"/>
          <w:szCs w:val="32"/>
        </w:rPr>
        <w:t>дуктивности.</w:t>
      </w:r>
    </w:p>
    <w:p w:rsidR="0000335E" w:rsidRDefault="0000335E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Эффективность использования корма в значительной степ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 зависит от техники кормления. Необходимо следить за правил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ным наполнением кормушек. Заполнять их следует только на 2/3 объ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ма, а при содержании мини-молодняка в клетках уровень корма в кормушке не должен превышать 1/3 ее объема.</w:t>
      </w:r>
    </w:p>
    <w:p w:rsidR="0000335E" w:rsidRPr="0012117A" w:rsidRDefault="0000335E" w:rsidP="008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Применение рекомендуемых норм кормления мини-молодняка и рецептов полнорационных комбикормов обеспечив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ет выращивание хорошо развитых несушек, с яйценоскостью на уро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не 61 %, со средним весом яиц в годовалом возрасте - 58 - 59,8 г. удельным весом 1,082, выводимостью 92 - 96 % от оплодотворе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ных яиц, при затратах 2,3 кг корма на 1 кг яичной массы (на 10 яиц - 1,35 кг корма)</w:t>
      </w:r>
    </w:p>
    <w:sectPr w:rsidR="0000335E" w:rsidRPr="0012117A" w:rsidSect="00137A1A">
      <w:footerReference w:type="default" r:id="rId7"/>
      <w:pgSz w:w="11906" w:h="16838"/>
      <w:pgMar w:top="1418" w:right="991" w:bottom="1276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66" w:rsidRDefault="00882666" w:rsidP="006C0543">
      <w:pPr>
        <w:spacing w:after="0" w:line="240" w:lineRule="auto"/>
      </w:pPr>
      <w:r>
        <w:separator/>
      </w:r>
    </w:p>
  </w:endnote>
  <w:endnote w:type="continuationSeparator" w:id="1">
    <w:p w:rsidR="00882666" w:rsidRDefault="00882666" w:rsidP="006C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597451"/>
      <w:docPartObj>
        <w:docPartGallery w:val="Page Numbers (Bottom of Page)"/>
        <w:docPartUnique/>
      </w:docPartObj>
    </w:sdtPr>
    <w:sdtContent>
      <w:p w:rsidR="0000335E" w:rsidRDefault="0000335E">
        <w:pPr>
          <w:pStyle w:val="a5"/>
          <w:jc w:val="center"/>
        </w:pPr>
        <w:r w:rsidRPr="0000335E">
          <w:rPr>
            <w:sz w:val="28"/>
          </w:rPr>
          <w:fldChar w:fldCharType="begin"/>
        </w:r>
        <w:r w:rsidRPr="0000335E">
          <w:rPr>
            <w:sz w:val="28"/>
          </w:rPr>
          <w:instrText xml:space="preserve"> PAGE   \* MERGEFORMAT </w:instrText>
        </w:r>
        <w:r w:rsidRPr="0000335E">
          <w:rPr>
            <w:sz w:val="28"/>
          </w:rPr>
          <w:fldChar w:fldCharType="separate"/>
        </w:r>
        <w:r w:rsidR="00137A1A">
          <w:rPr>
            <w:noProof/>
            <w:sz w:val="28"/>
          </w:rPr>
          <w:t>8</w:t>
        </w:r>
        <w:r w:rsidRPr="0000335E">
          <w:rPr>
            <w:sz w:val="28"/>
          </w:rPr>
          <w:fldChar w:fldCharType="end"/>
        </w:r>
      </w:p>
    </w:sdtContent>
  </w:sdt>
  <w:p w:rsidR="0000335E" w:rsidRDefault="00003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66" w:rsidRDefault="00882666" w:rsidP="006C0543">
      <w:pPr>
        <w:spacing w:after="0" w:line="240" w:lineRule="auto"/>
      </w:pPr>
      <w:r>
        <w:separator/>
      </w:r>
    </w:p>
  </w:footnote>
  <w:footnote w:type="continuationSeparator" w:id="1">
    <w:p w:rsidR="00882666" w:rsidRDefault="00882666" w:rsidP="006C0543">
      <w:pPr>
        <w:spacing w:after="0" w:line="240" w:lineRule="auto"/>
      </w:pPr>
      <w:r>
        <w:continuationSeparator/>
      </w:r>
    </w:p>
  </w:footnote>
  <w:footnote w:id="2">
    <w:p w:rsidR="0000335E" w:rsidRDefault="0000335E">
      <w:pPr>
        <w:pStyle w:val="a8"/>
      </w:pPr>
      <w:r>
        <w:rPr>
          <w:rStyle w:val="aa"/>
        </w:rPr>
        <w:footnoteRef/>
      </w:r>
      <w:r>
        <w:t xml:space="preserve"> При отсутствии соевого шрота он заменяется подсолнечниковым, в этом случае мясокостную муку след</w:t>
      </w:r>
      <w:r>
        <w:t>у</w:t>
      </w:r>
      <w:r>
        <w:t>ет заменить рыбной.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8F5"/>
    <w:rsid w:val="0000335E"/>
    <w:rsid w:val="0012117A"/>
    <w:rsid w:val="00137A1A"/>
    <w:rsid w:val="00157FBA"/>
    <w:rsid w:val="002A44A9"/>
    <w:rsid w:val="00445BC9"/>
    <w:rsid w:val="00467868"/>
    <w:rsid w:val="004E3AB9"/>
    <w:rsid w:val="005B28F5"/>
    <w:rsid w:val="006C0543"/>
    <w:rsid w:val="007159FB"/>
    <w:rsid w:val="00882666"/>
    <w:rsid w:val="00887868"/>
    <w:rsid w:val="008C1F77"/>
    <w:rsid w:val="009C39CF"/>
    <w:rsid w:val="00B73727"/>
    <w:rsid w:val="00CA30F6"/>
    <w:rsid w:val="00ED45C3"/>
    <w:rsid w:val="00F6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543"/>
  </w:style>
  <w:style w:type="paragraph" w:styleId="a5">
    <w:name w:val="footer"/>
    <w:basedOn w:val="a"/>
    <w:link w:val="a6"/>
    <w:uiPriority w:val="99"/>
    <w:unhideWhenUsed/>
    <w:rsid w:val="006C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543"/>
  </w:style>
  <w:style w:type="table" w:styleId="a7">
    <w:name w:val="Table Grid"/>
    <w:basedOn w:val="a1"/>
    <w:uiPriority w:val="59"/>
    <w:rsid w:val="00887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445BC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5BC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5BC9"/>
    <w:rPr>
      <w:vertAlign w:val="superscript"/>
    </w:rPr>
  </w:style>
  <w:style w:type="paragraph" w:styleId="ab">
    <w:name w:val="List Paragraph"/>
    <w:basedOn w:val="a"/>
    <w:uiPriority w:val="34"/>
    <w:qFormat/>
    <w:rsid w:val="0044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0733-E8ED-480E-ADF7-93FF3CDE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2017-06-05T09:33:00Z</dcterms:created>
  <dcterms:modified xsi:type="dcterms:W3CDTF">2017-06-05T12:17:00Z</dcterms:modified>
</cp:coreProperties>
</file>